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D3A" w:rsidRDefault="00A254A2">
      <w:pPr>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附件一</w:t>
      </w:r>
    </w:p>
    <w:p w:rsidR="00662D3A" w:rsidRDefault="00A254A2">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奖励性绩效工资分配说明</w:t>
      </w:r>
    </w:p>
    <w:p w:rsidR="00662D3A" w:rsidRDefault="00662D3A">
      <w:pPr>
        <w:ind w:firstLineChars="200" w:firstLine="720"/>
        <w:rPr>
          <w:rFonts w:ascii="Times New Roman" w:hAnsi="Times New Roman" w:cs="Times New Roman"/>
          <w:sz w:val="36"/>
          <w:szCs w:val="36"/>
        </w:rPr>
      </w:pPr>
    </w:p>
    <w:p w:rsidR="00662D3A" w:rsidRDefault="00A254A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为做好</w:t>
      </w:r>
      <w:bookmarkStart w:id="0" w:name="_GoBack"/>
      <w:bookmarkEnd w:id="0"/>
      <w:r>
        <w:rPr>
          <w:rFonts w:ascii="Times New Roman" w:eastAsia="仿宋" w:hAnsi="Times New Roman" w:cs="Times New Roman"/>
          <w:sz w:val="32"/>
          <w:szCs w:val="32"/>
        </w:rPr>
        <w:t>奖励性绩效工资分配工作，现将相关说明如下：</w:t>
      </w:r>
    </w:p>
    <w:p w:rsidR="00662D3A" w:rsidRDefault="00A254A2">
      <w:pPr>
        <w:ind w:firstLineChars="200" w:firstLine="640"/>
        <w:rPr>
          <w:rFonts w:ascii="黑体" w:eastAsia="黑体" w:hAnsi="黑体" w:cs="Times New Roman"/>
          <w:bCs/>
          <w:sz w:val="32"/>
          <w:szCs w:val="32"/>
        </w:rPr>
      </w:pPr>
      <w:r>
        <w:rPr>
          <w:rFonts w:ascii="黑体" w:eastAsia="黑体" w:hAnsi="黑体" w:cs="Times New Roman"/>
          <w:bCs/>
          <w:sz w:val="32"/>
          <w:szCs w:val="32"/>
        </w:rPr>
        <w:t>一、基本要求</w:t>
      </w:r>
    </w:p>
    <w:p w:rsidR="00662D3A" w:rsidRDefault="00A254A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人事处</w:t>
      </w:r>
      <w:r>
        <w:rPr>
          <w:rFonts w:ascii="Times New Roman" w:eastAsia="仿宋" w:hAnsi="Times New Roman" w:cs="Times New Roman" w:hint="eastAsia"/>
          <w:sz w:val="32"/>
          <w:szCs w:val="32"/>
        </w:rPr>
        <w:t>发放</w:t>
      </w:r>
      <w:r>
        <w:rPr>
          <w:rFonts w:ascii="Times New Roman" w:eastAsia="仿宋" w:hAnsi="Times New Roman" w:cs="Times New Roman"/>
          <w:sz w:val="32"/>
          <w:szCs w:val="32"/>
        </w:rPr>
        <w:t>各单位的奖励性绩效工资额度，各单位登录人事系统，查看本单位额度。各单位在奖励性绩效工资额度范围内，结合本单位实际，合理分配奖励性绩效工资，并在人事系统填报分配结果。</w:t>
      </w:r>
    </w:p>
    <w:p w:rsidR="00662D3A" w:rsidRDefault="00A254A2">
      <w:pPr>
        <w:ind w:firstLineChars="200" w:firstLine="640"/>
        <w:rPr>
          <w:rFonts w:ascii="黑体" w:eastAsia="黑体" w:hAnsi="黑体" w:cs="Times New Roman"/>
          <w:bCs/>
          <w:sz w:val="32"/>
          <w:szCs w:val="32"/>
        </w:rPr>
      </w:pPr>
      <w:r>
        <w:rPr>
          <w:rFonts w:ascii="黑体" w:eastAsia="黑体" w:hAnsi="黑体" w:cs="Times New Roman"/>
          <w:bCs/>
          <w:sz w:val="32"/>
          <w:szCs w:val="32"/>
        </w:rPr>
        <w:t>二、发放范围</w:t>
      </w:r>
    </w:p>
    <w:p w:rsidR="00662D3A" w:rsidRDefault="00A254A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参加绩效考核的在岗教职工。</w:t>
      </w:r>
    </w:p>
    <w:p w:rsidR="00662D3A" w:rsidRDefault="00A254A2">
      <w:pPr>
        <w:ind w:firstLineChars="200" w:firstLine="640"/>
        <w:rPr>
          <w:rFonts w:ascii="黑体" w:eastAsia="黑体" w:hAnsi="黑体" w:cs="Times New Roman"/>
          <w:bCs/>
          <w:sz w:val="32"/>
          <w:szCs w:val="32"/>
        </w:rPr>
      </w:pPr>
      <w:r>
        <w:rPr>
          <w:rFonts w:ascii="黑体" w:eastAsia="黑体" w:hAnsi="黑体" w:cs="Times New Roman"/>
          <w:bCs/>
          <w:sz w:val="32"/>
          <w:szCs w:val="32"/>
        </w:rPr>
        <w:t>三、高端人才、青年学科带头人</w:t>
      </w:r>
    </w:p>
    <w:p w:rsidR="00662D3A" w:rsidRDefault="00A254A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学院对考核优秀、合格的高端人才（讲席教授、杰出教授、英才教授）和青年学科带头人（</w:t>
      </w:r>
      <w:r>
        <w:rPr>
          <w:rFonts w:ascii="Times New Roman" w:eastAsia="仿宋" w:hAnsi="Times New Roman" w:cs="Times New Roman"/>
          <w:sz w:val="32"/>
          <w:szCs w:val="32"/>
        </w:rPr>
        <w:t>“</w:t>
      </w:r>
      <w:r>
        <w:rPr>
          <w:rFonts w:ascii="Times New Roman" w:eastAsia="仿宋" w:hAnsi="Times New Roman" w:cs="Times New Roman"/>
          <w:sz w:val="32"/>
          <w:szCs w:val="32"/>
        </w:rPr>
        <w:t>百青计划</w:t>
      </w:r>
      <w:r>
        <w:rPr>
          <w:rFonts w:ascii="Times New Roman" w:eastAsia="仿宋" w:hAnsi="Times New Roman" w:cs="Times New Roman"/>
          <w:sz w:val="32"/>
          <w:szCs w:val="32"/>
        </w:rPr>
        <w:t>”</w:t>
      </w:r>
      <w:r>
        <w:rPr>
          <w:rFonts w:ascii="Times New Roman" w:eastAsia="仿宋" w:hAnsi="Times New Roman" w:cs="Times New Roman"/>
          <w:sz w:val="32"/>
          <w:szCs w:val="32"/>
        </w:rPr>
        <w:t>入选者、人才特区青年学科带头人</w:t>
      </w:r>
      <w:r>
        <w:rPr>
          <w:rFonts w:ascii="Times New Roman" w:eastAsia="仿宋" w:hAnsi="Times New Roman" w:cs="Times New Roman"/>
          <w:sz w:val="32"/>
          <w:szCs w:val="32"/>
        </w:rPr>
        <w:t>B</w:t>
      </w:r>
      <w:r>
        <w:rPr>
          <w:rFonts w:ascii="Times New Roman" w:eastAsia="仿宋" w:hAnsi="Times New Roman" w:cs="Times New Roman"/>
          <w:sz w:val="32"/>
          <w:szCs w:val="32"/>
        </w:rPr>
        <w:t>档特聘研究员）按所聘岗位奖励性绩效工资标准（年模拟绩效工资的</w:t>
      </w:r>
      <w:r>
        <w:rPr>
          <w:rFonts w:ascii="Times New Roman" w:eastAsia="仿宋" w:hAnsi="Times New Roman" w:cs="Times New Roman"/>
          <w:sz w:val="32"/>
          <w:szCs w:val="32"/>
        </w:rPr>
        <w:t>30%</w:t>
      </w:r>
      <w:r>
        <w:rPr>
          <w:rFonts w:ascii="Times New Roman" w:eastAsia="仿宋" w:hAnsi="Times New Roman" w:cs="Times New Roman"/>
          <w:sz w:val="32"/>
          <w:szCs w:val="32"/>
        </w:rPr>
        <w:t>）上报奖励性绩效工资分配结果。</w:t>
      </w:r>
    </w:p>
    <w:p w:rsidR="00662D3A" w:rsidRDefault="00A254A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对于在本学年内，上（下）高端和青年学科带头人的，需分段处理。非高端人才和青年学科带头人岗位期间</w:t>
      </w:r>
      <w:proofErr w:type="gramStart"/>
      <w:r>
        <w:rPr>
          <w:rFonts w:ascii="Times New Roman" w:eastAsia="仿宋" w:hAnsi="Times New Roman" w:cs="Times New Roman"/>
          <w:sz w:val="32"/>
          <w:szCs w:val="32"/>
        </w:rPr>
        <w:t>需参与</w:t>
      </w:r>
      <w:proofErr w:type="gramEnd"/>
      <w:r>
        <w:rPr>
          <w:rFonts w:ascii="Times New Roman" w:eastAsia="仿宋" w:hAnsi="Times New Roman" w:cs="Times New Roman"/>
          <w:sz w:val="32"/>
          <w:szCs w:val="32"/>
        </w:rPr>
        <w:t>学院奖励性绩效工资的分配。</w:t>
      </w:r>
    </w:p>
    <w:p w:rsidR="00662D3A" w:rsidRDefault="00A254A2">
      <w:pPr>
        <w:ind w:firstLineChars="200" w:firstLine="640"/>
        <w:rPr>
          <w:rFonts w:ascii="黑体" w:eastAsia="黑体" w:hAnsi="黑体" w:cs="Times New Roman"/>
          <w:bCs/>
          <w:sz w:val="32"/>
          <w:szCs w:val="32"/>
        </w:rPr>
      </w:pPr>
      <w:r>
        <w:rPr>
          <w:rFonts w:ascii="黑体" w:eastAsia="黑体" w:hAnsi="黑体" w:cs="Times New Roman"/>
          <w:bCs/>
          <w:sz w:val="32"/>
          <w:szCs w:val="32"/>
        </w:rPr>
        <w:t>四、双肩挑干部</w:t>
      </w:r>
    </w:p>
    <w:p w:rsidR="00662D3A" w:rsidRDefault="00A254A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在机关、后勤、直属单位任职的</w:t>
      </w:r>
      <w:r>
        <w:rPr>
          <w:rFonts w:ascii="Times New Roman" w:eastAsia="仿宋" w:hAnsi="Times New Roman" w:cs="Times New Roman"/>
          <w:sz w:val="32"/>
          <w:szCs w:val="32"/>
        </w:rPr>
        <w:t>“</w:t>
      </w:r>
      <w:r>
        <w:rPr>
          <w:rFonts w:ascii="Times New Roman" w:eastAsia="仿宋" w:hAnsi="Times New Roman" w:cs="Times New Roman"/>
          <w:sz w:val="32"/>
          <w:szCs w:val="32"/>
        </w:rPr>
        <w:t>双肩挑</w:t>
      </w:r>
      <w:r>
        <w:rPr>
          <w:rFonts w:ascii="Times New Roman" w:eastAsia="仿宋" w:hAnsi="Times New Roman" w:cs="Times New Roman"/>
          <w:sz w:val="32"/>
          <w:szCs w:val="32"/>
        </w:rPr>
        <w:t>”</w:t>
      </w:r>
      <w:r>
        <w:rPr>
          <w:rFonts w:ascii="Times New Roman" w:eastAsia="仿宋" w:hAnsi="Times New Roman" w:cs="Times New Roman"/>
          <w:sz w:val="32"/>
          <w:szCs w:val="32"/>
        </w:rPr>
        <w:t>干部</w:t>
      </w:r>
      <w:r>
        <w:rPr>
          <w:rFonts w:ascii="Times New Roman" w:eastAsia="仿宋" w:hAnsi="Times New Roman" w:cs="Times New Roman" w:hint="eastAsia"/>
          <w:sz w:val="32"/>
          <w:szCs w:val="32"/>
        </w:rPr>
        <w:t>需选择确认奖励性绩效</w:t>
      </w:r>
      <w:r>
        <w:rPr>
          <w:rFonts w:ascii="Times New Roman" w:eastAsia="仿宋" w:hAnsi="Times New Roman" w:cs="Times New Roman" w:hint="eastAsia"/>
          <w:sz w:val="32"/>
          <w:szCs w:val="32"/>
        </w:rPr>
        <w:t>分配的</w:t>
      </w:r>
      <w:r>
        <w:rPr>
          <w:rFonts w:ascii="Times New Roman" w:eastAsia="仿宋" w:hAnsi="Times New Roman" w:cs="Times New Roman" w:hint="eastAsia"/>
          <w:sz w:val="32"/>
          <w:szCs w:val="32"/>
        </w:rPr>
        <w:t>单位</w:t>
      </w:r>
      <w:r>
        <w:rPr>
          <w:rFonts w:ascii="Times New Roman" w:eastAsia="仿宋" w:hAnsi="Times New Roman" w:cs="Times New Roman" w:hint="eastAsia"/>
          <w:sz w:val="32"/>
          <w:szCs w:val="32"/>
        </w:rPr>
        <w:t>并</w:t>
      </w:r>
      <w:r>
        <w:rPr>
          <w:rFonts w:ascii="Times New Roman" w:eastAsia="仿宋" w:hAnsi="Times New Roman" w:cs="Times New Roman" w:hint="eastAsia"/>
          <w:sz w:val="32"/>
          <w:szCs w:val="32"/>
        </w:rPr>
        <w:t>在</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月</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号前</w:t>
      </w:r>
      <w:r>
        <w:rPr>
          <w:rFonts w:ascii="Times New Roman" w:eastAsia="仿宋" w:hAnsi="Times New Roman" w:cs="Times New Roman" w:hint="eastAsia"/>
          <w:sz w:val="32"/>
          <w:szCs w:val="32"/>
        </w:rPr>
        <w:t>通过</w:t>
      </w:r>
      <w:r>
        <w:rPr>
          <w:rFonts w:ascii="Times New Roman" w:eastAsia="仿宋" w:hAnsi="Times New Roman" w:cs="Times New Roman" w:hint="eastAsia"/>
          <w:sz w:val="32"/>
          <w:szCs w:val="32"/>
        </w:rPr>
        <w:t>OA</w:t>
      </w:r>
      <w:r>
        <w:rPr>
          <w:rFonts w:ascii="Times New Roman" w:eastAsia="仿宋" w:hAnsi="Times New Roman" w:cs="Times New Roman" w:hint="eastAsia"/>
          <w:sz w:val="32"/>
          <w:szCs w:val="32"/>
        </w:rPr>
        <w:t>报送至人事处</w:t>
      </w:r>
      <w:r>
        <w:rPr>
          <w:rFonts w:ascii="Times New Roman" w:eastAsia="仿宋" w:hAnsi="Times New Roman" w:cs="Times New Roman" w:hint="eastAsia"/>
          <w:sz w:val="32"/>
          <w:szCs w:val="32"/>
        </w:rPr>
        <w:t>。</w:t>
      </w:r>
    </w:p>
    <w:p w:rsidR="00662D3A" w:rsidRDefault="00A254A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在学院、实体研究机构任职的双肩挑干部，由所在单位考虑其双岗位、提供管理服务因素，</w:t>
      </w:r>
      <w:r>
        <w:rPr>
          <w:rFonts w:ascii="Times New Roman" w:eastAsia="仿宋" w:hAnsi="Times New Roman" w:cs="Times New Roman"/>
          <w:sz w:val="32"/>
          <w:szCs w:val="32"/>
        </w:rPr>
        <w:t>增加管理服务考评分值、在奖励性绩效工资分配中予以体现。</w:t>
      </w:r>
    </w:p>
    <w:p w:rsidR="00662D3A" w:rsidRDefault="00A254A2">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双肩挑干部中属于高端人才和青年学科带头人的按照高端人才和青年学科带头人奖励性绩效工资分配方法执行</w:t>
      </w:r>
      <w:r>
        <w:rPr>
          <w:rFonts w:ascii="Times New Roman" w:eastAsia="仿宋" w:hAnsi="Times New Roman" w:cs="Times New Roman" w:hint="eastAsia"/>
          <w:sz w:val="32"/>
          <w:szCs w:val="32"/>
        </w:rPr>
        <w:t>。</w:t>
      </w:r>
    </w:p>
    <w:p w:rsidR="00662D3A" w:rsidRDefault="00A254A2">
      <w:pPr>
        <w:ind w:firstLineChars="200" w:firstLine="640"/>
        <w:rPr>
          <w:rFonts w:ascii="黑体" w:eastAsia="黑体" w:hAnsi="黑体" w:cs="Times New Roman"/>
          <w:sz w:val="32"/>
          <w:szCs w:val="32"/>
        </w:rPr>
      </w:pPr>
      <w:r>
        <w:rPr>
          <w:rFonts w:ascii="黑体" w:eastAsia="黑体" w:hAnsi="黑体" w:cs="Times New Roman" w:hint="eastAsia"/>
          <w:sz w:val="32"/>
          <w:szCs w:val="32"/>
        </w:rPr>
        <w:t>五、退休人员</w:t>
      </w:r>
    </w:p>
    <w:p w:rsidR="00662D3A" w:rsidRDefault="00A254A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2023</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9</w:t>
      </w:r>
      <w:r>
        <w:rPr>
          <w:rFonts w:ascii="Times New Roman" w:eastAsia="仿宋" w:hAnsi="Times New Roman" w:cs="Times New Roman" w:hint="eastAsia"/>
          <w:sz w:val="32"/>
          <w:szCs w:val="32"/>
        </w:rPr>
        <w:t>月至</w:t>
      </w:r>
      <w:r>
        <w:rPr>
          <w:rFonts w:ascii="Times New Roman" w:eastAsia="仿宋" w:hAnsi="Times New Roman" w:cs="Times New Roman" w:hint="eastAsia"/>
          <w:sz w:val="32"/>
          <w:szCs w:val="32"/>
        </w:rPr>
        <w:t>202</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月退休的教职工，不参与单位奖励</w:t>
      </w:r>
      <w:r>
        <w:rPr>
          <w:rFonts w:ascii="Times New Roman" w:eastAsia="仿宋" w:hAnsi="Times New Roman" w:cs="Times New Roman" w:hint="eastAsia"/>
          <w:sz w:val="32"/>
          <w:szCs w:val="32"/>
        </w:rPr>
        <w:t>性</w:t>
      </w:r>
      <w:r>
        <w:rPr>
          <w:rFonts w:ascii="Times New Roman" w:eastAsia="仿宋" w:hAnsi="Times New Roman" w:cs="Times New Roman" w:hint="eastAsia"/>
          <w:sz w:val="32"/>
          <w:szCs w:val="32"/>
        </w:rPr>
        <w:t>绩效工资的分配，由人事处单独发放。</w:t>
      </w:r>
    </w:p>
    <w:p w:rsidR="00662D3A" w:rsidRDefault="00A254A2">
      <w:pPr>
        <w:ind w:firstLineChars="200" w:firstLine="640"/>
        <w:rPr>
          <w:rFonts w:ascii="黑体" w:eastAsia="黑体" w:hAnsi="黑体" w:cs="Times New Roman"/>
          <w:sz w:val="32"/>
          <w:szCs w:val="32"/>
        </w:rPr>
      </w:pPr>
      <w:r>
        <w:rPr>
          <w:rFonts w:ascii="黑体" w:eastAsia="黑体" w:hAnsi="黑体" w:cs="Times New Roman" w:hint="eastAsia"/>
          <w:sz w:val="32"/>
          <w:szCs w:val="32"/>
        </w:rPr>
        <w:t>六、离职人员</w:t>
      </w:r>
    </w:p>
    <w:p w:rsidR="00662D3A" w:rsidRDefault="00A254A2">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2023</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9</w:t>
      </w:r>
      <w:r>
        <w:rPr>
          <w:rFonts w:ascii="Times New Roman" w:eastAsia="仿宋" w:hAnsi="Times New Roman" w:cs="Times New Roman" w:hint="eastAsia"/>
          <w:sz w:val="32"/>
          <w:szCs w:val="32"/>
        </w:rPr>
        <w:t>月至</w:t>
      </w:r>
      <w:r>
        <w:rPr>
          <w:rFonts w:ascii="Times New Roman" w:eastAsia="仿宋" w:hAnsi="Times New Roman" w:cs="Times New Roman" w:hint="eastAsia"/>
          <w:sz w:val="32"/>
          <w:szCs w:val="32"/>
        </w:rPr>
        <w:t>202</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月离职人员不参与</w:t>
      </w:r>
      <w:r>
        <w:rPr>
          <w:rFonts w:ascii="Times New Roman" w:eastAsia="仿宋" w:hAnsi="Times New Roman" w:cs="Times New Roman" w:hint="eastAsia"/>
          <w:sz w:val="32"/>
          <w:szCs w:val="32"/>
        </w:rPr>
        <w:t>奖励</w:t>
      </w:r>
      <w:r>
        <w:rPr>
          <w:rFonts w:ascii="Times New Roman" w:eastAsia="仿宋" w:hAnsi="Times New Roman" w:cs="Times New Roman" w:hint="eastAsia"/>
          <w:sz w:val="32"/>
          <w:szCs w:val="32"/>
        </w:rPr>
        <w:t>性</w:t>
      </w:r>
      <w:r>
        <w:rPr>
          <w:rFonts w:ascii="Times New Roman" w:eastAsia="仿宋" w:hAnsi="Times New Roman" w:cs="Times New Roman" w:hint="eastAsia"/>
          <w:sz w:val="32"/>
          <w:szCs w:val="32"/>
        </w:rPr>
        <w:t>绩效工资的分配，若单位确需为此期间离职人员发放奖励性绩效，需对其进行考核，</w:t>
      </w:r>
      <w:proofErr w:type="gramStart"/>
      <w:r>
        <w:rPr>
          <w:rFonts w:ascii="Times New Roman" w:eastAsia="仿宋" w:hAnsi="Times New Roman" w:cs="Times New Roman" w:hint="eastAsia"/>
          <w:sz w:val="32"/>
          <w:szCs w:val="32"/>
        </w:rPr>
        <w:t>且考核</w:t>
      </w:r>
      <w:proofErr w:type="gramEnd"/>
      <w:r>
        <w:rPr>
          <w:rFonts w:ascii="Times New Roman" w:eastAsia="仿宋" w:hAnsi="Times New Roman" w:cs="Times New Roman" w:hint="eastAsia"/>
          <w:sz w:val="32"/>
          <w:szCs w:val="32"/>
        </w:rPr>
        <w:t>结果为合格及以上，待全校在职人员奖励性绩效工资发放完毕后，再</w:t>
      </w:r>
      <w:r>
        <w:rPr>
          <w:rFonts w:ascii="Times New Roman" w:eastAsia="仿宋" w:hAnsi="Times New Roman" w:cs="Times New Roman" w:hint="eastAsia"/>
          <w:sz w:val="32"/>
          <w:szCs w:val="32"/>
        </w:rPr>
        <w:t>通过</w:t>
      </w:r>
      <w:r>
        <w:rPr>
          <w:rFonts w:ascii="Times New Roman" w:eastAsia="仿宋" w:hAnsi="Times New Roman" w:cs="Times New Roman" w:hint="eastAsia"/>
          <w:sz w:val="32"/>
          <w:szCs w:val="32"/>
        </w:rPr>
        <w:t>OA</w:t>
      </w:r>
      <w:r>
        <w:rPr>
          <w:rFonts w:ascii="Times New Roman" w:eastAsia="仿宋" w:hAnsi="Times New Roman" w:cs="Times New Roman" w:hint="eastAsia"/>
          <w:sz w:val="32"/>
          <w:szCs w:val="32"/>
        </w:rPr>
        <w:t>申请发放。此类离职人员的奖励性绩效不占用单位额度。</w:t>
      </w:r>
    </w:p>
    <w:sectPr w:rsidR="00662D3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254A2">
      <w:r>
        <w:separator/>
      </w:r>
    </w:p>
  </w:endnote>
  <w:endnote w:type="continuationSeparator" w:id="0">
    <w:p w:rsidR="00000000" w:rsidRDefault="00A2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631124"/>
    </w:sdtPr>
    <w:sdtEndPr/>
    <w:sdtContent>
      <w:p w:rsidR="00662D3A" w:rsidRDefault="00A254A2">
        <w:pPr>
          <w:pStyle w:val="a7"/>
          <w:jc w:val="center"/>
        </w:pPr>
        <w:r>
          <w:fldChar w:fldCharType="begin"/>
        </w:r>
        <w:r>
          <w:instrText>PAGE   \* MERGEFORMAT</w:instrText>
        </w:r>
        <w:r>
          <w:fldChar w:fldCharType="separate"/>
        </w:r>
        <w:r w:rsidRPr="00A254A2">
          <w:rPr>
            <w:noProof/>
            <w:lang w:val="zh-CN"/>
          </w:rPr>
          <w:t>2</w:t>
        </w:r>
        <w:r>
          <w:fldChar w:fldCharType="end"/>
        </w:r>
      </w:p>
    </w:sdtContent>
  </w:sdt>
  <w:p w:rsidR="00662D3A" w:rsidRDefault="00662D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254A2">
      <w:r>
        <w:separator/>
      </w:r>
    </w:p>
  </w:footnote>
  <w:footnote w:type="continuationSeparator" w:id="0">
    <w:p w:rsidR="00000000" w:rsidRDefault="00A25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mNzM4OGRhZjk1ODA1MTBjMzBjNDllNTY1NmVmZjMifQ=="/>
  </w:docVars>
  <w:rsids>
    <w:rsidRoot w:val="0056028A"/>
    <w:rsid w:val="0003164F"/>
    <w:rsid w:val="00061ABC"/>
    <w:rsid w:val="0006309F"/>
    <w:rsid w:val="00066D74"/>
    <w:rsid w:val="00077164"/>
    <w:rsid w:val="0009114B"/>
    <w:rsid w:val="000C1F66"/>
    <w:rsid w:val="000D7836"/>
    <w:rsid w:val="000E6872"/>
    <w:rsid w:val="00154FEB"/>
    <w:rsid w:val="001579B6"/>
    <w:rsid w:val="00177064"/>
    <w:rsid w:val="0018030F"/>
    <w:rsid w:val="00186253"/>
    <w:rsid w:val="0019739B"/>
    <w:rsid w:val="001B45A3"/>
    <w:rsid w:val="001C5A39"/>
    <w:rsid w:val="001D77E3"/>
    <w:rsid w:val="001E0C70"/>
    <w:rsid w:val="001E6351"/>
    <w:rsid w:val="0021667B"/>
    <w:rsid w:val="0023280E"/>
    <w:rsid w:val="002439CC"/>
    <w:rsid w:val="00285A16"/>
    <w:rsid w:val="002A4E31"/>
    <w:rsid w:val="002C0124"/>
    <w:rsid w:val="002C6823"/>
    <w:rsid w:val="002D162F"/>
    <w:rsid w:val="002D1DC4"/>
    <w:rsid w:val="002D52BF"/>
    <w:rsid w:val="0030541C"/>
    <w:rsid w:val="00316A37"/>
    <w:rsid w:val="00335B53"/>
    <w:rsid w:val="003428C7"/>
    <w:rsid w:val="003558B7"/>
    <w:rsid w:val="00392BA9"/>
    <w:rsid w:val="003D1D2B"/>
    <w:rsid w:val="003E03AE"/>
    <w:rsid w:val="00446E0E"/>
    <w:rsid w:val="0056028A"/>
    <w:rsid w:val="005641B4"/>
    <w:rsid w:val="00584729"/>
    <w:rsid w:val="005B2201"/>
    <w:rsid w:val="005B35A5"/>
    <w:rsid w:val="005E1C14"/>
    <w:rsid w:val="005F090B"/>
    <w:rsid w:val="005F7EA8"/>
    <w:rsid w:val="0064306B"/>
    <w:rsid w:val="006541CC"/>
    <w:rsid w:val="006558E4"/>
    <w:rsid w:val="00662D3A"/>
    <w:rsid w:val="006746C1"/>
    <w:rsid w:val="006E1F3D"/>
    <w:rsid w:val="00706653"/>
    <w:rsid w:val="00712122"/>
    <w:rsid w:val="0072337A"/>
    <w:rsid w:val="007340F1"/>
    <w:rsid w:val="00741010"/>
    <w:rsid w:val="007A405D"/>
    <w:rsid w:val="007B1C85"/>
    <w:rsid w:val="00881670"/>
    <w:rsid w:val="00890A82"/>
    <w:rsid w:val="008C290B"/>
    <w:rsid w:val="008D30C0"/>
    <w:rsid w:val="00924563"/>
    <w:rsid w:val="00936C91"/>
    <w:rsid w:val="009629D5"/>
    <w:rsid w:val="009A69D2"/>
    <w:rsid w:val="009A770C"/>
    <w:rsid w:val="009B75F4"/>
    <w:rsid w:val="009C4FD2"/>
    <w:rsid w:val="009C799C"/>
    <w:rsid w:val="009D2DDE"/>
    <w:rsid w:val="009D3F37"/>
    <w:rsid w:val="009E0D2F"/>
    <w:rsid w:val="00A03907"/>
    <w:rsid w:val="00A11D13"/>
    <w:rsid w:val="00A254A2"/>
    <w:rsid w:val="00A35A6E"/>
    <w:rsid w:val="00A46CE7"/>
    <w:rsid w:val="00A86BEA"/>
    <w:rsid w:val="00AC0CF2"/>
    <w:rsid w:val="00B223CD"/>
    <w:rsid w:val="00B44558"/>
    <w:rsid w:val="00B4700A"/>
    <w:rsid w:val="00B63780"/>
    <w:rsid w:val="00B66560"/>
    <w:rsid w:val="00B918BD"/>
    <w:rsid w:val="00BB2AB7"/>
    <w:rsid w:val="00BC456E"/>
    <w:rsid w:val="00BE6E4A"/>
    <w:rsid w:val="00C14AFA"/>
    <w:rsid w:val="00C4081C"/>
    <w:rsid w:val="00C51E4F"/>
    <w:rsid w:val="00C65EE3"/>
    <w:rsid w:val="00C9686D"/>
    <w:rsid w:val="00CD1554"/>
    <w:rsid w:val="00CE4E3E"/>
    <w:rsid w:val="00CF2AFA"/>
    <w:rsid w:val="00D23480"/>
    <w:rsid w:val="00D2594A"/>
    <w:rsid w:val="00D30255"/>
    <w:rsid w:val="00D7566B"/>
    <w:rsid w:val="00D95178"/>
    <w:rsid w:val="00DC14D7"/>
    <w:rsid w:val="00DE6D0E"/>
    <w:rsid w:val="00DF5B35"/>
    <w:rsid w:val="00E03E08"/>
    <w:rsid w:val="00E11BFB"/>
    <w:rsid w:val="00E36971"/>
    <w:rsid w:val="00E4153A"/>
    <w:rsid w:val="00E7786E"/>
    <w:rsid w:val="00E91FC8"/>
    <w:rsid w:val="00EB45FC"/>
    <w:rsid w:val="00EC053D"/>
    <w:rsid w:val="00ED47AC"/>
    <w:rsid w:val="00EF14D2"/>
    <w:rsid w:val="00EF42F3"/>
    <w:rsid w:val="00F0638D"/>
    <w:rsid w:val="00F21182"/>
    <w:rsid w:val="00F222BE"/>
    <w:rsid w:val="00F25D9E"/>
    <w:rsid w:val="00F412AA"/>
    <w:rsid w:val="00F51845"/>
    <w:rsid w:val="00F75F0E"/>
    <w:rsid w:val="00FE1C2D"/>
    <w:rsid w:val="00FE6B88"/>
    <w:rsid w:val="00FE741B"/>
    <w:rsid w:val="00FF12E2"/>
    <w:rsid w:val="044E24BC"/>
    <w:rsid w:val="0DBB1C84"/>
    <w:rsid w:val="0EBD1575"/>
    <w:rsid w:val="254B6F9C"/>
    <w:rsid w:val="27185103"/>
    <w:rsid w:val="28222C64"/>
    <w:rsid w:val="58CC1706"/>
    <w:rsid w:val="65941AB6"/>
    <w:rsid w:val="6E136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DCCF"/>
  <w15:docId w15:val="{E7DF2BE1-9121-4338-87D1-B0E1B5AF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annotation subject"/>
    <w:basedOn w:val="a3"/>
    <w:next w:val="a3"/>
    <w:link w:val="ac"/>
    <w:uiPriority w:val="99"/>
    <w:semiHidden/>
    <w:unhideWhenUsed/>
    <w:rPr>
      <w:b/>
      <w:bCs/>
    </w:rPr>
  </w:style>
  <w:style w:type="character" w:styleId="ad">
    <w:name w:val="Hyperlink"/>
    <w:basedOn w:val="a0"/>
    <w:uiPriority w:val="99"/>
    <w:unhideWhenUsed/>
    <w:qFormat/>
    <w:rPr>
      <w:color w:val="0000FF" w:themeColor="hyperlink"/>
      <w:u w:val="single"/>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HTML0">
    <w:name w:val="HTML 预设格式 字符"/>
    <w:basedOn w:val="a0"/>
    <w:link w:val="HTML"/>
    <w:uiPriority w:val="99"/>
    <w:rPr>
      <w:rFonts w:ascii="宋体" w:eastAsia="宋体" w:hAnsi="宋体" w:cs="宋体"/>
      <w:kern w:val="0"/>
      <w:sz w:val="24"/>
      <w:szCs w:val="24"/>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rPr>
      <w:b/>
      <w:bCs/>
      <w:kern w:val="2"/>
      <w:sz w:val="21"/>
      <w:szCs w:val="22"/>
    </w:rPr>
  </w:style>
  <w:style w:type="paragraph" w:customStyle="1" w:styleId="1">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107</Words>
  <Characters>610</Characters>
  <Application>Microsoft Office Word</Application>
  <DocSecurity>0</DocSecurity>
  <Lines>5</Lines>
  <Paragraphs>1</Paragraphs>
  <ScaleCrop>false</ScaleCrop>
  <Company>Sky123.Org</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Sky123.Org</cp:lastModifiedBy>
  <cp:revision>40</cp:revision>
  <cp:lastPrinted>2021-09-20T09:27:00Z</cp:lastPrinted>
  <dcterms:created xsi:type="dcterms:W3CDTF">2022-06-15T10:33:00Z</dcterms:created>
  <dcterms:modified xsi:type="dcterms:W3CDTF">2024-05-24T06:12:00Z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66784E4FAB304A8ABE9661F3ED596B14_12</vt:lpwstr>
  </property>
</Properties>
</file>